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78" w:rsidRDefault="00DE24C5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CO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CO"/>
        </w:rPr>
        <w:t>IMPUNIDAD INDIGERIBLE</w:t>
      </w:r>
    </w:p>
    <w:p w:rsidR="001E0ED7" w:rsidRDefault="001E0ED7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CO"/>
        </w:rPr>
      </w:pPr>
    </w:p>
    <w:p w:rsidR="001E0ED7" w:rsidRPr="001E0ED7" w:rsidRDefault="001E0ED7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CO"/>
        </w:rPr>
        <w:t xml:space="preserve">Número de palabras: 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966</w:t>
      </w:r>
      <w:bookmarkStart w:id="0" w:name="_GoBack"/>
      <w:bookmarkEnd w:id="0"/>
    </w:p>
    <w:p w:rsidR="00DE24C5" w:rsidRPr="0062304A" w:rsidRDefault="00DE24C5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CO"/>
        </w:rPr>
      </w:pPr>
    </w:p>
    <w:p w:rsidR="00CC0778" w:rsidRDefault="00DE24C5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CO"/>
        </w:rPr>
        <w:t xml:space="preserve">TAGS: </w:t>
      </w:r>
      <w:r w:rsidR="00A0591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Justicia Transicional</w:t>
      </w:r>
      <w:r w:rsidR="00A65A6E" w:rsidRPr="00DE2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, C</w:t>
      </w:r>
      <w:r w:rsidR="00A0591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orte </w:t>
      </w:r>
      <w:r w:rsidR="00A65A6E" w:rsidRPr="00DE2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P</w:t>
      </w:r>
      <w:r w:rsidR="00A0591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enal </w:t>
      </w:r>
      <w:r w:rsidR="00A65A6E" w:rsidRPr="00DE2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I</w:t>
      </w:r>
      <w:r w:rsidR="00A0591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nternacional, Paz</w:t>
      </w:r>
    </w:p>
    <w:p w:rsidR="0062304A" w:rsidRDefault="0062304A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</w:pPr>
    </w:p>
    <w:p w:rsidR="0062304A" w:rsidRDefault="0062304A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La justicia transicional es un instrumento jurídico que estipula aplicación de penas menos duras en extensión a miembros de grupos armados ilegales a cambio de su desarticulación, desmovilización, confesión de la verdad, resarcimiento de sus víctimas y compromiso de no repetición. La reducción ostensible del castigo por crímenes que en términos normales no tendrían n</w:t>
      </w:r>
      <w:r w:rsidR="00DE2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ingún favorecimiento, se justifica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en razón de la búsqueda de un bien colectivo mayor para la sociedad, a saber, la cesación de delitos, el restablecimiento del orden y la seguridad y </w:t>
      </w:r>
      <w:r w:rsidR="00003B6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la recuperación de la tranquilidad</w:t>
      </w:r>
      <w:r w:rsidR="00DE2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ciudadana</w:t>
      </w:r>
      <w:r w:rsidR="00003B6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. Es una ecuación imperfecta si se la mira desde un ángulo riguroso pero legítima si se la valora por sus resultados.</w:t>
      </w:r>
    </w:p>
    <w:p w:rsidR="00003B69" w:rsidRDefault="00003B69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</w:pPr>
    </w:p>
    <w:p w:rsidR="00003B69" w:rsidRDefault="00003B69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No es aplicable de manera permanente ni en todo tipo de situaciones. Está diseñada para poner fin a enfr</w:t>
      </w:r>
      <w:r w:rsidR="00DE2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entamientos armados de consecuencias políticas</w:t>
      </w:r>
      <w:r w:rsidR="00B47FD8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en los que la comisión sistemática de delitos de lesa humanidad y crímenes de guerra impide el otorgamiento de indultos o amnistías. </w:t>
      </w:r>
    </w:p>
    <w:p w:rsidR="00B47FD8" w:rsidRDefault="00B47FD8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</w:pPr>
    </w:p>
    <w:p w:rsidR="00B47FD8" w:rsidRDefault="00B47FD8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Los avances recientes</w:t>
      </w:r>
      <w:r w:rsidR="005C4238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de la comunidad internacional, mucho más exigentes y estrictos en el castigo de ciertos delitos de común ocurrencia en confrontaciones armadas internacionales y nacionales, dejaron, una puerta abierta qu</w:t>
      </w:r>
      <w:r w:rsidR="00DE2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e fuese atractiva para </w:t>
      </w:r>
      <w:r w:rsidR="005C4238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grupos que quisieran cesar sus acciones militares, de tal forma que el castigo penal a imponer no fuese el normalmente utilizado, pero tampoco significase una amnistía o </w:t>
      </w:r>
      <w:r w:rsidR="00DE2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indulto como los que se otorgaba</w:t>
      </w:r>
      <w:r w:rsidR="005C4238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n en otros tiempos.</w:t>
      </w:r>
    </w:p>
    <w:p w:rsidR="005C4238" w:rsidRDefault="005C4238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</w:pPr>
    </w:p>
    <w:p w:rsidR="005C4238" w:rsidRDefault="005C4238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El Estatuto de Roma de 1998 que sirvió de base a la formación de la Corte Penal Internacional consagró la investigación y el castigo de una serie de conductas cometidas por individuos pertenecientes bien a un estado o a una organización armada con fines políticos. Dich</w:t>
      </w:r>
      <w:r w:rsidR="00DE2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o estatuto </w:t>
      </w:r>
      <w:proofErr w:type="spellStart"/>
      <w:r w:rsidR="00DE2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prohibe</w:t>
      </w:r>
      <w:proofErr w:type="spellEnd"/>
      <w:r w:rsidR="00DE2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el indulto y la amnistía para delitos de lesa humanidad y crímenes de guerra.</w:t>
      </w:r>
      <w:r w:rsidR="009F60B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Colombia adhirió al tratado en el año 2002, pero hizo una reserva para que los responsables de crímenes de guerra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</w:t>
      </w:r>
      <w:r w:rsidR="009F60B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en el marco del conflicto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</w:t>
      </w:r>
      <w:r w:rsidR="009F60B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armado no fuesen de conocimiento de la CPI hasta noviembre de 2009. La i</w:t>
      </w:r>
      <w:r w:rsidR="00DE2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dea era dejar espacio</w:t>
      </w:r>
      <w:r w:rsidR="009F60B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a eventuales negociaciones de</w:t>
      </w:r>
      <w:r w:rsidR="00DE2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paz</w:t>
      </w:r>
      <w:r w:rsidR="009F60B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sin que los j</w:t>
      </w:r>
      <w:r w:rsidR="00DE2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efes e integrantes de las organizaciones armadas</w:t>
      </w:r>
      <w:r w:rsidR="009F60B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viesen como un obstáculo que se les </w:t>
      </w:r>
      <w:r w:rsidR="00DE2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aplicaran penas por los delitos</w:t>
      </w:r>
      <w:r w:rsidR="009F60B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cometidos durante su accionar contra el estado. Sobre el asunto hubo suficiente y oportuna información.</w:t>
      </w:r>
    </w:p>
    <w:p w:rsidR="009F60B9" w:rsidRDefault="009F60B9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</w:pPr>
    </w:p>
    <w:p w:rsidR="009F60B9" w:rsidRDefault="009F60B9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Vencido el término de la reserva cualquier gobierno colombiano quedaba obligado a aten</w:t>
      </w:r>
      <w:r w:rsidR="00DE2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erse a sus estatutos no solo por ser alta parte contra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tante, como lo es en materia de derechos humanos a través de la ONU, sino en cuanto la adhesión plena convierte en legislación</w:t>
      </w:r>
      <w:r w:rsidR="00DE2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interna los acuerdos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de la Corte.</w:t>
      </w:r>
      <w:r w:rsidR="00E42CA7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El estado colombiano no tiene otra alternativa que investigar y castigar a los </w:t>
      </w:r>
      <w:r w:rsidR="00E42CA7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lastRenderedPageBreak/>
        <w:t>responsables de los delitos a que hace referencia el Estatuto de Roma. No hacerlo es violar un compromiso internacional y la propia legislación. Pero, también, abrirles la puerta a los fiscales de dicha corte para que asuman la investigación, persecución y castigo de los individuos acusados de delitos de lesa humanidad y de crímenes de guerra.</w:t>
      </w:r>
    </w:p>
    <w:p w:rsidR="00E42CA7" w:rsidRDefault="00E42CA7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</w:pPr>
    </w:p>
    <w:p w:rsidR="004C1900" w:rsidRDefault="00E42CA7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De manera que ya no se podrán adelantar negociaciones en los términos que, por ejemplo, se observaron en las negociaciones de paz con el M-19, el EPL y la Corriente de Renovación Socialista del ELN. ¿Qué es entonces lo que haría atractiva una negociación en las condiciones actuales? A ningún jefe, se dice, le gustaría hacer la paz para terminar en una cárcel</w:t>
      </w:r>
      <w:r w:rsidR="004C1900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. La respuesta nos la proporciona la Justicia Transicional. En el ámbito de l</w:t>
      </w:r>
      <w:r w:rsidR="00A0591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a misma es posible</w:t>
      </w:r>
      <w:r w:rsidR="004C1900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que el grueso de los combatientes de base reciban el beneficio de la amnistía y el indulto, y que los comandantes, a cambio de verdad, reparación de víctimas y compromiso de no repetición, reciban penas alternativas, en amplia medida muy simbólicas en cuanto pueden llegar a equivaler a un 10% de lo que normalmente se aplica para delitos similares. </w:t>
      </w:r>
    </w:p>
    <w:p w:rsidR="004C1900" w:rsidRDefault="004C1900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</w:pPr>
    </w:p>
    <w:p w:rsidR="00CC0778" w:rsidRDefault="004C1900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De esa forma se evitaría la impunidad total preconizada por algunos legisladores, miembros del ejecutivo, altos magistrados y el Fiscal General. Si leemos los artículos 7° y 8° del estatuto de la CPI, pod</w:t>
      </w:r>
      <w:r w:rsidR="00C93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r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emos entender que no es un capri</w:t>
      </w:r>
      <w:r w:rsidR="00C93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cho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. Es prec</w:t>
      </w:r>
      <w:r w:rsidR="00A0591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iso y conveniente entender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que el estado colombiano</w:t>
      </w:r>
      <w:r w:rsidR="00A0591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,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como tal</w:t>
      </w:r>
      <w:r w:rsidR="00A0591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,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no puede eludir compromisos adquiridos. La CPI sólo admitiría un arreglo en el que personas responsables de delitos de lesa humanidad y crímenes de guerra</w:t>
      </w:r>
      <w:r w:rsidR="00C93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confiesen su culpa y paguen cárcel, así sea en pro</w:t>
      </w:r>
      <w:r w:rsidR="00A0591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porciones menores</w:t>
      </w:r>
      <w:r w:rsidR="00C934C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.</w:t>
      </w:r>
    </w:p>
    <w:p w:rsidR="00C934C5" w:rsidRDefault="00C934C5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</w:pPr>
    </w:p>
    <w:p w:rsidR="00C934C5" w:rsidRPr="0062304A" w:rsidRDefault="00C934C5" w:rsidP="0062304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CO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Algunos apartes  de los artículos 7 y 8 se reproducen a continuación para que el lector los</w:t>
      </w:r>
      <w:r w:rsidR="00505440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 xml:space="preserve"> contraste con situaciones vividas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CO"/>
        </w:rPr>
        <w:t>:</w:t>
      </w:r>
    </w:p>
    <w:p w:rsidR="00505440" w:rsidRDefault="00505440" w:rsidP="0050544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CO"/>
        </w:rPr>
      </w:pPr>
    </w:p>
    <w:p w:rsidR="009D7154" w:rsidRPr="0062304A" w:rsidRDefault="00505440" w:rsidP="0050544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CO"/>
        </w:rPr>
        <w:t>“</w:t>
      </w:r>
      <w:r w:rsidR="009D7154" w:rsidRPr="0062304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CO"/>
        </w:rPr>
        <w:t>Artículo 7</w:t>
      </w: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CO"/>
        </w:rPr>
        <w:t>,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r w:rsidR="009D7154" w:rsidRPr="0062304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CO"/>
        </w:rPr>
        <w:t>Crímenes de lesa humanidad</w:t>
      </w: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CO"/>
        </w:rPr>
        <w:t xml:space="preserve">. </w:t>
      </w:r>
      <w:r w:rsidR="009D7154" w:rsidRPr="0062304A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1. A los efectos del presente Estatuto, se entenderá por "crimen de lesa humanidad" cualquiera de los actos siguientes cuando se cometa </w:t>
      </w:r>
      <w:r w:rsidR="009D7154" w:rsidRPr="00A05919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s-CO"/>
        </w:rPr>
        <w:t>como parte de un ataque generalizado o sistemático contra una población civil y con conocimiento de dicho ataque</w:t>
      </w:r>
      <w:r w:rsidR="009D7154" w:rsidRPr="0062304A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: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Asesinato,</w:t>
      </w:r>
      <w:r w:rsidR="009D7154" w:rsidRPr="0062304A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Exterminio, </w:t>
      </w:r>
      <w:r w:rsidR="009D7154" w:rsidRPr="0062304A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Encarcelación u otra privación grave de la libertad física en violación de normas fundame</w:t>
      </w:r>
      <w:r w:rsidR="00A05919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ntales de derecho internacional, </w:t>
      </w:r>
      <w:r w:rsidR="009D7154" w:rsidRPr="0062304A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To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rtura, </w:t>
      </w:r>
      <w:r w:rsidR="009D7154" w:rsidRPr="0062304A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Violación, esclavitud sexual, prostitución forzada, embarazo forzado, esterilización forzada u otros abusos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sexuales de gravedad comparable, </w:t>
      </w:r>
      <w:r w:rsidR="009D7154" w:rsidRPr="0062304A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D</w:t>
      </w:r>
      <w:r w:rsidR="00A05919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esaparición forzada de personas.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r w:rsidR="009D7154" w:rsidRPr="0062304A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Otros actos inhumanos de carácter similar que causen intencionalmente grandes sufrimientos o atenten gravemente contra la integridad física o la salud mental o física.</w:t>
      </w:r>
    </w:p>
    <w:p w:rsidR="009D7154" w:rsidRDefault="009D7154" w:rsidP="0050544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505440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CO"/>
        </w:rPr>
        <w:t>Artículo 8</w:t>
      </w:r>
      <w:r w:rsidR="00505440" w:rsidRPr="00505440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s-CO"/>
        </w:rPr>
        <w:t xml:space="preserve">, </w:t>
      </w:r>
      <w:r w:rsidRPr="00505440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CO"/>
        </w:rPr>
        <w:t>Crímenes de guerra</w:t>
      </w:r>
      <w:r w:rsidR="00505440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CO"/>
        </w:rPr>
        <w:t>:</w:t>
      </w:r>
      <w:r w:rsidR="00505440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r w:rsidRPr="0062304A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1. La Corte tendrá competencia respecto de los crímenes de guerra en particular cuando se cometan como parte de un plan o política o como parte de la comisión en gran escala de tales crímenes.</w:t>
      </w:r>
      <w:r w:rsidR="00505440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r w:rsidRPr="0062304A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2. A los efectos del presente Estatuto, se entie</w:t>
      </w:r>
      <w:r w:rsidR="00505440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nde por "crímenes de guerra":</w:t>
      </w:r>
      <w:r w:rsidRPr="0062304A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Infracciones graves de los Convenios de </w:t>
      </w:r>
      <w:r w:rsidR="006903FF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Ginebra de 12 de agosto de 1949…</w:t>
      </w:r>
      <w:r w:rsidR="00505440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r w:rsidRPr="0062304A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En caso de </w:t>
      </w:r>
      <w:r w:rsidRPr="0062304A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lastRenderedPageBreak/>
        <w:t xml:space="preserve">conflicto armado que no sea de índole internacional, las violaciones graves del artículo 3 común a los cuatro Convenios de </w:t>
      </w:r>
      <w:r w:rsidR="00505440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Ginebra de 12 de agosto de 1949.”</w:t>
      </w:r>
    </w:p>
    <w:p w:rsidR="003E1513" w:rsidRDefault="003E1513" w:rsidP="0050544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</w:p>
    <w:p w:rsidR="003E1513" w:rsidRDefault="003E1513" w:rsidP="0050544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Los umbrales a observar son </w:t>
      </w:r>
      <w:r w:rsidR="00A05919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pues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indiscutibles: estatuto de la CPI y Justicia Transicio</w:t>
      </w:r>
      <w:r w:rsidR="00A05919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nal. Ni rigidez ni blandura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.</w:t>
      </w:r>
    </w:p>
    <w:p w:rsidR="00957AE9" w:rsidRDefault="00957AE9" w:rsidP="0050544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</w:p>
    <w:p w:rsidR="00957AE9" w:rsidRDefault="00957AE9" w:rsidP="0050544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Darío Acevedo Carmona, Medellín, 12 de mayo de 2013</w:t>
      </w:r>
    </w:p>
    <w:p w:rsidR="00957AE9" w:rsidRPr="0062304A" w:rsidRDefault="00957AE9" w:rsidP="0050544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</w:p>
    <w:p w:rsidR="00A46C72" w:rsidRPr="0062304A" w:rsidRDefault="00A46C72" w:rsidP="0062304A">
      <w:pPr>
        <w:jc w:val="both"/>
        <w:rPr>
          <w:rFonts w:ascii="Trebuchet MS" w:hAnsi="Trebuchet MS"/>
          <w:sz w:val="24"/>
          <w:szCs w:val="24"/>
        </w:rPr>
      </w:pPr>
    </w:p>
    <w:sectPr w:rsidR="00A46C72" w:rsidRPr="006230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54"/>
    <w:rsid w:val="00003B69"/>
    <w:rsid w:val="001018A8"/>
    <w:rsid w:val="001E0ED7"/>
    <w:rsid w:val="003E1513"/>
    <w:rsid w:val="004C1900"/>
    <w:rsid w:val="00505440"/>
    <w:rsid w:val="005C4238"/>
    <w:rsid w:val="0062304A"/>
    <w:rsid w:val="006903FF"/>
    <w:rsid w:val="00957AE9"/>
    <w:rsid w:val="009D7154"/>
    <w:rsid w:val="009F60B9"/>
    <w:rsid w:val="00A05919"/>
    <w:rsid w:val="00A46C72"/>
    <w:rsid w:val="00A65A6E"/>
    <w:rsid w:val="00B47FD8"/>
    <w:rsid w:val="00C934C5"/>
    <w:rsid w:val="00CC0778"/>
    <w:rsid w:val="00DE24C5"/>
    <w:rsid w:val="00E4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946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2013-05-12T02:57:00Z</dcterms:created>
  <dcterms:modified xsi:type="dcterms:W3CDTF">2013-05-21T03:20:00Z</dcterms:modified>
</cp:coreProperties>
</file>